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5E" w:rsidRPr="00895812" w:rsidRDefault="001A2D84" w:rsidP="0087612A">
      <w:pPr>
        <w:ind w:left="3000" w:hanging="3000"/>
        <w:rPr>
          <w:rFonts w:asciiTheme="minorHAnsi" w:hAnsiTheme="minorHAnsi" w:cstheme="minorHAnsi"/>
          <w:b/>
          <w:sz w:val="28"/>
          <w:szCs w:val="28"/>
          <w:lang w:val="da-DK"/>
        </w:rPr>
      </w:pPr>
      <w:bookmarkStart w:id="0" w:name="_GoBack"/>
      <w:bookmarkEnd w:id="0"/>
      <w:r w:rsidRPr="00895812">
        <w:rPr>
          <w:rFonts w:asciiTheme="minorHAnsi" w:hAnsiTheme="minorHAnsi" w:cstheme="minorHAnsi"/>
          <w:b/>
          <w:sz w:val="28"/>
          <w:szCs w:val="28"/>
          <w:lang w:val="da-DK"/>
        </w:rPr>
        <w:t>Behandlingsjournal</w:t>
      </w:r>
      <w:r w:rsidR="00E36D01" w:rsidRPr="00895812">
        <w:rPr>
          <w:rFonts w:asciiTheme="minorHAnsi" w:hAnsiTheme="minorHAnsi" w:cstheme="minorHAnsi"/>
          <w:b/>
          <w:sz w:val="28"/>
          <w:szCs w:val="28"/>
          <w:lang w:val="da-DK"/>
        </w:rPr>
        <w:t xml:space="preserve"> </w:t>
      </w:r>
      <w:r w:rsidR="00E36D01" w:rsidRPr="00895812">
        <w:rPr>
          <w:rFonts w:asciiTheme="minorHAnsi" w:hAnsiTheme="minorHAnsi" w:cstheme="minorHAnsi"/>
          <w:b/>
          <w:sz w:val="28"/>
          <w:szCs w:val="28"/>
          <w:lang w:val="da-DK"/>
        </w:rPr>
        <w:tab/>
      </w:r>
    </w:p>
    <w:p w:rsidR="00CF2A17" w:rsidRPr="00895812" w:rsidRDefault="00CF2A17" w:rsidP="0087612A">
      <w:pPr>
        <w:ind w:left="3000" w:hanging="3000"/>
        <w:rPr>
          <w:rFonts w:asciiTheme="minorHAnsi" w:hAnsiTheme="minorHAnsi" w:cstheme="minorHAnsi"/>
          <w:b/>
          <w:sz w:val="28"/>
          <w:szCs w:val="28"/>
          <w:lang w:val="da-DK"/>
        </w:rPr>
      </w:pPr>
      <w:r w:rsidRPr="00895812">
        <w:rPr>
          <w:rFonts w:asciiTheme="minorHAnsi" w:hAnsiTheme="minorHAnsi" w:cstheme="minorHAnsi"/>
          <w:b/>
          <w:sz w:val="28"/>
          <w:szCs w:val="28"/>
          <w:lang w:val="da-DK"/>
        </w:rPr>
        <w:t>Produkt: FICAM</w:t>
      </w:r>
      <w:r w:rsidR="009C361D">
        <w:rPr>
          <w:rFonts w:asciiTheme="minorHAnsi" w:hAnsiTheme="minorHAnsi" w:cstheme="minorHAnsi"/>
          <w:b/>
          <w:sz w:val="28"/>
          <w:szCs w:val="28"/>
          <w:lang w:val="da-DK"/>
        </w:rPr>
        <w:t>®</w:t>
      </w:r>
      <w:r w:rsidRPr="00895812">
        <w:rPr>
          <w:rFonts w:asciiTheme="minorHAnsi" w:hAnsiTheme="minorHAnsi" w:cstheme="minorHAnsi"/>
          <w:b/>
          <w:sz w:val="28"/>
          <w:szCs w:val="28"/>
          <w:lang w:val="da-DK"/>
        </w:rPr>
        <w:t xml:space="preserve"> D MINK</w:t>
      </w:r>
      <w:r w:rsidR="00E36D01" w:rsidRPr="00895812">
        <w:rPr>
          <w:rFonts w:asciiTheme="minorHAnsi" w:hAnsiTheme="minorHAnsi" w:cstheme="minorHAnsi"/>
          <w:b/>
          <w:sz w:val="28"/>
          <w:szCs w:val="28"/>
          <w:lang w:val="da-DK"/>
        </w:rPr>
        <w:t xml:space="preserve"> </w:t>
      </w:r>
      <w:r w:rsidR="00B50239" w:rsidRPr="00895812">
        <w:rPr>
          <w:rFonts w:asciiTheme="minorHAnsi" w:hAnsiTheme="minorHAnsi" w:cstheme="minorHAnsi"/>
          <w:b/>
          <w:sz w:val="28"/>
          <w:szCs w:val="28"/>
          <w:lang w:val="da-DK"/>
        </w:rPr>
        <w:t>2019</w:t>
      </w:r>
    </w:p>
    <w:p w:rsidR="001A2D84" w:rsidRPr="00895812" w:rsidRDefault="0087612A" w:rsidP="00C44F91">
      <w:pPr>
        <w:rPr>
          <w:rFonts w:asciiTheme="minorHAnsi" w:hAnsiTheme="minorHAnsi" w:cstheme="minorHAnsi"/>
          <w:i/>
          <w:szCs w:val="28"/>
          <w:lang w:val="da-DK"/>
        </w:rPr>
      </w:pPr>
      <w:r w:rsidRPr="00895812">
        <w:rPr>
          <w:rFonts w:asciiTheme="minorHAnsi" w:hAnsiTheme="minorHAnsi" w:cstheme="minorHAnsi"/>
          <w:i/>
          <w:szCs w:val="28"/>
          <w:highlight w:val="yellow"/>
          <w:lang w:val="da-DK"/>
        </w:rPr>
        <w:t xml:space="preserve">Udfyldes </w:t>
      </w:r>
      <w:r w:rsidR="000E2B3F" w:rsidRPr="00895812">
        <w:rPr>
          <w:rFonts w:asciiTheme="minorHAnsi" w:hAnsiTheme="minorHAnsi" w:cstheme="minorHAnsi"/>
          <w:i/>
          <w:szCs w:val="28"/>
          <w:highlight w:val="yellow"/>
          <w:lang w:val="da-DK"/>
        </w:rPr>
        <w:t xml:space="preserve">af minkavler </w:t>
      </w:r>
      <w:r w:rsidRPr="00895812">
        <w:rPr>
          <w:rFonts w:asciiTheme="minorHAnsi" w:hAnsiTheme="minorHAnsi" w:cstheme="minorHAnsi"/>
          <w:i/>
          <w:szCs w:val="28"/>
          <w:highlight w:val="yellow"/>
          <w:lang w:val="da-DK"/>
        </w:rPr>
        <w:t xml:space="preserve">og </w:t>
      </w:r>
      <w:r w:rsidR="000E2B3F" w:rsidRPr="00895812">
        <w:rPr>
          <w:rFonts w:asciiTheme="minorHAnsi" w:hAnsiTheme="minorHAnsi" w:cstheme="minorHAnsi"/>
          <w:i/>
          <w:szCs w:val="28"/>
          <w:highlight w:val="yellow"/>
          <w:lang w:val="da-DK"/>
        </w:rPr>
        <w:t xml:space="preserve">sendes til Bayer senest </w:t>
      </w:r>
      <w:r w:rsidR="000E2B3F" w:rsidRPr="00895812">
        <w:rPr>
          <w:rFonts w:asciiTheme="minorHAnsi" w:hAnsiTheme="minorHAnsi" w:cstheme="minorHAnsi"/>
          <w:b/>
          <w:i/>
          <w:szCs w:val="28"/>
          <w:highlight w:val="yellow"/>
          <w:lang w:val="da-DK"/>
        </w:rPr>
        <w:t>1</w:t>
      </w:r>
      <w:r w:rsidR="00067240" w:rsidRPr="00895812">
        <w:rPr>
          <w:rFonts w:asciiTheme="minorHAnsi" w:hAnsiTheme="minorHAnsi" w:cstheme="minorHAnsi"/>
          <w:b/>
          <w:i/>
          <w:szCs w:val="28"/>
          <w:highlight w:val="yellow"/>
          <w:lang w:val="da-DK"/>
        </w:rPr>
        <w:t>5</w:t>
      </w:r>
      <w:r w:rsidR="000E2B3F" w:rsidRPr="00895812">
        <w:rPr>
          <w:rFonts w:asciiTheme="minorHAnsi" w:hAnsiTheme="minorHAnsi" w:cstheme="minorHAnsi"/>
          <w:b/>
          <w:i/>
          <w:szCs w:val="28"/>
          <w:highlight w:val="yellow"/>
          <w:lang w:val="da-DK"/>
        </w:rPr>
        <w:t xml:space="preserve"> </w:t>
      </w:r>
      <w:r w:rsidR="00067240" w:rsidRPr="00895812">
        <w:rPr>
          <w:rFonts w:asciiTheme="minorHAnsi" w:hAnsiTheme="minorHAnsi" w:cstheme="minorHAnsi"/>
          <w:b/>
          <w:i/>
          <w:szCs w:val="28"/>
          <w:highlight w:val="yellow"/>
          <w:lang w:val="da-DK"/>
        </w:rPr>
        <w:t>januar</w:t>
      </w:r>
      <w:r w:rsidR="00EB3F00" w:rsidRPr="00895812">
        <w:rPr>
          <w:rFonts w:asciiTheme="minorHAnsi" w:hAnsiTheme="minorHAnsi" w:cstheme="minorHAnsi"/>
          <w:b/>
          <w:i/>
          <w:szCs w:val="28"/>
          <w:highlight w:val="yellow"/>
          <w:lang w:val="da-DK"/>
        </w:rPr>
        <w:t xml:space="preserve"> 2020</w:t>
      </w:r>
    </w:p>
    <w:tbl>
      <w:tblPr>
        <w:tblStyle w:val="Tabel-Gitter"/>
        <w:tblpPr w:leftFromText="180" w:rightFromText="180" w:vertAnchor="text" w:horzAnchor="margin" w:tblpY="120"/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536E5E" w:rsidRPr="00895812" w:rsidTr="00536E5E">
        <w:tc>
          <w:tcPr>
            <w:tcW w:w="5495" w:type="dxa"/>
          </w:tcPr>
          <w:p w:rsidR="00536E5E" w:rsidRPr="00895812" w:rsidRDefault="00536E5E" w:rsidP="00536E5E">
            <w:pPr>
              <w:rPr>
                <w:rFonts w:asciiTheme="minorHAnsi" w:hAnsiTheme="minorHAnsi" w:cstheme="minorHAnsi"/>
                <w:b/>
                <w:lang w:val="da-DK"/>
              </w:rPr>
            </w:pPr>
            <w:r w:rsidRPr="00895812">
              <w:rPr>
                <w:rFonts w:asciiTheme="minorHAnsi" w:hAnsiTheme="minorHAnsi" w:cstheme="minorHAnsi"/>
                <w:b/>
                <w:lang w:val="da-DK"/>
              </w:rPr>
              <w:t>Minkavlers navn, adresse og kontaktperson:</w:t>
            </w:r>
          </w:p>
        </w:tc>
        <w:tc>
          <w:tcPr>
            <w:tcW w:w="4678" w:type="dxa"/>
          </w:tcPr>
          <w:p w:rsidR="00536E5E" w:rsidRPr="00895812" w:rsidRDefault="00536E5E" w:rsidP="00536E5E">
            <w:pPr>
              <w:rPr>
                <w:rFonts w:asciiTheme="minorHAnsi" w:hAnsiTheme="minorHAnsi" w:cstheme="minorHAnsi"/>
                <w:b/>
                <w:i/>
                <w:lang w:val="da-DK"/>
              </w:rPr>
            </w:pPr>
            <w:r w:rsidRPr="00895812">
              <w:rPr>
                <w:rFonts w:asciiTheme="minorHAnsi" w:hAnsiTheme="minorHAnsi" w:cstheme="minorHAnsi"/>
                <w:b/>
                <w:i/>
                <w:lang w:val="da-DK"/>
              </w:rPr>
              <w:t>Behandlingsjournalen sendes til</w:t>
            </w:r>
          </w:p>
        </w:tc>
      </w:tr>
      <w:tr w:rsidR="00536E5E" w:rsidRPr="00541931" w:rsidTr="00536E5E">
        <w:tc>
          <w:tcPr>
            <w:tcW w:w="5495" w:type="dxa"/>
          </w:tcPr>
          <w:p w:rsidR="00536E5E" w:rsidRPr="00895812" w:rsidRDefault="00536E5E" w:rsidP="00536E5E">
            <w:pPr>
              <w:rPr>
                <w:rFonts w:asciiTheme="minorHAnsi" w:hAnsiTheme="minorHAnsi" w:cstheme="minorHAnsi"/>
                <w:lang w:val="da-DK"/>
              </w:rPr>
            </w:pPr>
            <w:r w:rsidRPr="00895812">
              <w:rPr>
                <w:rFonts w:asciiTheme="minorHAnsi" w:hAnsiTheme="minorHAnsi" w:cstheme="minorHAnsi"/>
                <w:lang w:val="da-DK"/>
              </w:rPr>
              <w:t>Navn:</w:t>
            </w:r>
          </w:p>
          <w:p w:rsidR="00536E5E" w:rsidRPr="00895812" w:rsidRDefault="00536E5E" w:rsidP="00536E5E">
            <w:pPr>
              <w:rPr>
                <w:rFonts w:asciiTheme="minorHAnsi" w:hAnsiTheme="minorHAnsi" w:cstheme="minorHAnsi"/>
                <w:lang w:val="da-DK"/>
              </w:rPr>
            </w:pPr>
            <w:r w:rsidRPr="00895812">
              <w:rPr>
                <w:rFonts w:asciiTheme="minorHAnsi" w:hAnsiTheme="minorHAnsi" w:cstheme="minorHAnsi"/>
                <w:lang w:val="da-DK"/>
              </w:rPr>
              <w:t>Adresse</w:t>
            </w:r>
          </w:p>
          <w:p w:rsidR="00536E5E" w:rsidRPr="00895812" w:rsidRDefault="00536E5E" w:rsidP="00536E5E">
            <w:pPr>
              <w:rPr>
                <w:rFonts w:asciiTheme="minorHAnsi" w:hAnsiTheme="minorHAnsi" w:cstheme="minorHAnsi"/>
                <w:lang w:val="da-DK"/>
              </w:rPr>
            </w:pPr>
            <w:r w:rsidRPr="00895812">
              <w:rPr>
                <w:rFonts w:asciiTheme="minorHAnsi" w:hAnsiTheme="minorHAnsi" w:cstheme="minorHAnsi"/>
                <w:lang w:val="da-DK"/>
              </w:rPr>
              <w:t>Kontaktperson:</w:t>
            </w:r>
          </w:p>
          <w:p w:rsidR="00536E5E" w:rsidRPr="00895812" w:rsidRDefault="00536E5E" w:rsidP="00536E5E">
            <w:pPr>
              <w:rPr>
                <w:rFonts w:asciiTheme="minorHAnsi" w:hAnsiTheme="minorHAnsi" w:cstheme="minorHAnsi"/>
                <w:lang w:val="da-DK"/>
              </w:rPr>
            </w:pPr>
            <w:r w:rsidRPr="00895812">
              <w:rPr>
                <w:rFonts w:asciiTheme="minorHAnsi" w:hAnsiTheme="minorHAnsi" w:cstheme="minorHAnsi"/>
                <w:lang w:val="da-DK"/>
              </w:rPr>
              <w:t>Telefon:</w:t>
            </w:r>
          </w:p>
          <w:p w:rsidR="00536E5E" w:rsidRPr="00895812" w:rsidRDefault="00536E5E" w:rsidP="00536E5E">
            <w:pPr>
              <w:rPr>
                <w:rFonts w:asciiTheme="minorHAnsi" w:hAnsiTheme="minorHAnsi" w:cstheme="minorHAnsi"/>
                <w:lang w:val="da-DK"/>
              </w:rPr>
            </w:pPr>
            <w:r w:rsidRPr="00895812">
              <w:rPr>
                <w:rFonts w:asciiTheme="minorHAnsi" w:hAnsiTheme="minorHAnsi" w:cstheme="minorHAnsi"/>
                <w:lang w:val="da-DK"/>
              </w:rPr>
              <w:t>E-mail:</w:t>
            </w:r>
          </w:p>
          <w:p w:rsidR="00536E5E" w:rsidRPr="00895812" w:rsidRDefault="00536E5E" w:rsidP="00536E5E">
            <w:pPr>
              <w:rPr>
                <w:rFonts w:asciiTheme="minorHAnsi" w:hAnsiTheme="minorHAnsi" w:cstheme="minorHAnsi"/>
                <w:lang w:val="da-DK"/>
              </w:rPr>
            </w:pPr>
            <w:r w:rsidRPr="00895812">
              <w:rPr>
                <w:rFonts w:asciiTheme="minorHAnsi" w:hAnsiTheme="minorHAnsi" w:cstheme="minorHAnsi"/>
                <w:lang w:val="da-DK"/>
              </w:rPr>
              <w:t>CVR nummer:</w:t>
            </w:r>
          </w:p>
        </w:tc>
        <w:tc>
          <w:tcPr>
            <w:tcW w:w="4678" w:type="dxa"/>
          </w:tcPr>
          <w:p w:rsidR="00536E5E" w:rsidRPr="00895812" w:rsidRDefault="00536E5E" w:rsidP="00536E5E">
            <w:pPr>
              <w:ind w:left="3000" w:hanging="3000"/>
              <w:rPr>
                <w:rFonts w:asciiTheme="minorHAnsi" w:hAnsiTheme="minorHAnsi" w:cstheme="minorHAnsi"/>
                <w:i/>
                <w:szCs w:val="28"/>
              </w:rPr>
            </w:pPr>
            <w:r w:rsidRPr="00895812">
              <w:rPr>
                <w:rFonts w:asciiTheme="minorHAnsi" w:hAnsiTheme="minorHAnsi" w:cstheme="minorHAnsi"/>
                <w:i/>
                <w:szCs w:val="28"/>
              </w:rPr>
              <w:t>Bayer A/S</w:t>
            </w:r>
          </w:p>
          <w:p w:rsidR="00536E5E" w:rsidRPr="00895812" w:rsidRDefault="00536E5E" w:rsidP="00536E5E">
            <w:pPr>
              <w:ind w:left="3000" w:hanging="3000"/>
              <w:rPr>
                <w:rFonts w:asciiTheme="minorHAnsi" w:hAnsiTheme="minorHAnsi" w:cstheme="minorHAnsi"/>
                <w:i/>
                <w:szCs w:val="28"/>
              </w:rPr>
            </w:pPr>
            <w:r w:rsidRPr="00895812">
              <w:rPr>
                <w:rFonts w:asciiTheme="minorHAnsi" w:hAnsiTheme="minorHAnsi" w:cstheme="minorHAnsi"/>
                <w:i/>
                <w:szCs w:val="28"/>
              </w:rPr>
              <w:t>Regulatory Affairs</w:t>
            </w:r>
          </w:p>
          <w:p w:rsidR="00536E5E" w:rsidRPr="00895812" w:rsidRDefault="00536E5E" w:rsidP="00536E5E">
            <w:pPr>
              <w:ind w:left="3000" w:hanging="3000"/>
              <w:rPr>
                <w:rFonts w:asciiTheme="minorHAnsi" w:hAnsiTheme="minorHAnsi" w:cstheme="minorHAnsi"/>
                <w:i/>
                <w:szCs w:val="28"/>
              </w:rPr>
            </w:pPr>
            <w:r w:rsidRPr="00895812">
              <w:rPr>
                <w:rFonts w:asciiTheme="minorHAnsi" w:hAnsiTheme="minorHAnsi" w:cstheme="minorHAnsi"/>
                <w:i/>
                <w:szCs w:val="28"/>
              </w:rPr>
              <w:t xml:space="preserve">Arne </w:t>
            </w:r>
            <w:proofErr w:type="spellStart"/>
            <w:r w:rsidRPr="00895812">
              <w:rPr>
                <w:rFonts w:asciiTheme="minorHAnsi" w:hAnsiTheme="minorHAnsi" w:cstheme="minorHAnsi"/>
                <w:i/>
                <w:szCs w:val="28"/>
              </w:rPr>
              <w:t>Jacobsens</w:t>
            </w:r>
            <w:proofErr w:type="spellEnd"/>
            <w:r w:rsidRPr="00895812">
              <w:rPr>
                <w:rFonts w:asciiTheme="minorHAnsi" w:hAnsiTheme="minorHAnsi" w:cstheme="minorHAnsi"/>
                <w:i/>
                <w:szCs w:val="28"/>
              </w:rPr>
              <w:t xml:space="preserve"> </w:t>
            </w:r>
            <w:proofErr w:type="spellStart"/>
            <w:r w:rsidRPr="00895812">
              <w:rPr>
                <w:rFonts w:asciiTheme="minorHAnsi" w:hAnsiTheme="minorHAnsi" w:cstheme="minorHAnsi"/>
                <w:i/>
                <w:szCs w:val="28"/>
              </w:rPr>
              <w:t>Allé</w:t>
            </w:r>
            <w:proofErr w:type="spellEnd"/>
            <w:r w:rsidRPr="00895812">
              <w:rPr>
                <w:rFonts w:asciiTheme="minorHAnsi" w:hAnsiTheme="minorHAnsi" w:cstheme="minorHAnsi"/>
                <w:i/>
                <w:szCs w:val="28"/>
              </w:rPr>
              <w:t xml:space="preserve"> 13, 6.</w:t>
            </w:r>
          </w:p>
          <w:p w:rsidR="00536E5E" w:rsidRPr="00895812" w:rsidRDefault="00536E5E" w:rsidP="00536E5E">
            <w:pPr>
              <w:ind w:left="3000" w:hanging="3000"/>
              <w:rPr>
                <w:rFonts w:asciiTheme="minorHAnsi" w:hAnsiTheme="minorHAnsi" w:cstheme="minorHAnsi"/>
                <w:i/>
                <w:szCs w:val="28"/>
                <w:lang w:val="da-DK"/>
              </w:rPr>
            </w:pPr>
            <w:r w:rsidRPr="00895812">
              <w:rPr>
                <w:rFonts w:asciiTheme="minorHAnsi" w:hAnsiTheme="minorHAnsi" w:cstheme="minorHAnsi"/>
                <w:i/>
                <w:szCs w:val="28"/>
                <w:lang w:val="da-DK"/>
              </w:rPr>
              <w:t>2300 København S</w:t>
            </w:r>
          </w:p>
          <w:p w:rsidR="00536E5E" w:rsidRPr="00895812" w:rsidRDefault="00536E5E" w:rsidP="00536E5E">
            <w:pPr>
              <w:ind w:left="3000" w:hanging="3000"/>
              <w:rPr>
                <w:rFonts w:asciiTheme="minorHAnsi" w:hAnsiTheme="minorHAnsi" w:cstheme="minorHAnsi"/>
                <w:i/>
                <w:szCs w:val="28"/>
                <w:lang w:val="da-DK"/>
              </w:rPr>
            </w:pPr>
          </w:p>
          <w:p w:rsidR="00536E5E" w:rsidRPr="00895812" w:rsidRDefault="00536E5E" w:rsidP="00536E5E">
            <w:pPr>
              <w:rPr>
                <w:rFonts w:asciiTheme="minorHAnsi" w:hAnsiTheme="minorHAnsi" w:cstheme="minorHAnsi"/>
                <w:lang w:val="da-DK"/>
              </w:rPr>
            </w:pPr>
            <w:r w:rsidRPr="00895812">
              <w:rPr>
                <w:rFonts w:asciiTheme="minorHAnsi" w:hAnsiTheme="minorHAnsi" w:cstheme="minorHAnsi"/>
                <w:lang w:val="da-DK"/>
              </w:rPr>
              <w:t>FICAMMINK2019@bayer.com</w:t>
            </w:r>
          </w:p>
        </w:tc>
      </w:tr>
    </w:tbl>
    <w:tbl>
      <w:tblPr>
        <w:tblStyle w:val="Tabel-Gitter"/>
        <w:tblpPr w:leftFromText="180" w:rightFromText="180" w:vertAnchor="text" w:horzAnchor="margin" w:tblpY="2374"/>
        <w:tblW w:w="10207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1417"/>
        <w:gridCol w:w="1412"/>
        <w:gridCol w:w="1662"/>
        <w:gridCol w:w="2313"/>
      </w:tblGrid>
      <w:tr w:rsidR="00536E5E" w:rsidRPr="00895812" w:rsidTr="00895812">
        <w:tc>
          <w:tcPr>
            <w:tcW w:w="1135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  <w:r w:rsidRPr="00895812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Dato</w:t>
            </w:r>
          </w:p>
        </w:tc>
        <w:tc>
          <w:tcPr>
            <w:tcW w:w="2268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  <w:r w:rsidRPr="00895812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Område</w:t>
            </w:r>
          </w:p>
        </w:tc>
        <w:tc>
          <w:tcPr>
            <w:tcW w:w="1417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</w:pPr>
            <w:r w:rsidRPr="00895812"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>Rede Nr.</w:t>
            </w:r>
          </w:p>
          <w:p w:rsidR="00536E5E" w:rsidRPr="00895812" w:rsidRDefault="00536E5E" w:rsidP="003B4218">
            <w:pPr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</w:pPr>
            <w:r w:rsidRPr="00895812"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>Dyr Nr.</w:t>
            </w:r>
          </w:p>
          <w:p w:rsidR="00536E5E" w:rsidRPr="00895812" w:rsidRDefault="00536E5E" w:rsidP="003B4218">
            <w:pPr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</w:pPr>
            <w:r w:rsidRPr="00895812"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 xml:space="preserve">Hus Nr. </w:t>
            </w:r>
          </w:p>
        </w:tc>
        <w:tc>
          <w:tcPr>
            <w:tcW w:w="1412" w:type="dxa"/>
          </w:tcPr>
          <w:p w:rsidR="00536E5E" w:rsidRPr="00895812" w:rsidRDefault="00536E5E" w:rsidP="00DD54A1">
            <w:pPr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  <w:r w:rsidRPr="00895812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 xml:space="preserve">Antal </w:t>
            </w:r>
            <w:proofErr w:type="spellStart"/>
            <w:r w:rsidRPr="00895812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behand-linger</w:t>
            </w:r>
            <w:proofErr w:type="spellEnd"/>
            <w:r w:rsidRPr="00895812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 xml:space="preserve"> á 4 </w:t>
            </w:r>
            <w:r w:rsidR="00DD54A1" w:rsidRPr="00895812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gr</w:t>
            </w:r>
          </w:p>
        </w:tc>
        <w:tc>
          <w:tcPr>
            <w:tcW w:w="1662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  <w:r w:rsidRPr="00895812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Mængde produkt anvendt</w:t>
            </w:r>
          </w:p>
        </w:tc>
        <w:tc>
          <w:tcPr>
            <w:tcW w:w="2313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  <w:r w:rsidRPr="00895812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Observationer</w:t>
            </w:r>
          </w:p>
          <w:p w:rsidR="00536E5E" w:rsidRPr="00895812" w:rsidRDefault="00536E5E" w:rsidP="003B4218">
            <w:pPr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  <w:r w:rsidRPr="00895812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Effekt 1-5</w:t>
            </w:r>
          </w:p>
          <w:p w:rsidR="00536E5E" w:rsidRPr="00895812" w:rsidRDefault="00536E5E" w:rsidP="003B4218">
            <w:pPr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  <w:r w:rsidRPr="00895812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0 = ingen effekt</w:t>
            </w:r>
          </w:p>
          <w:p w:rsidR="00536E5E" w:rsidRPr="00895812" w:rsidRDefault="00536E5E" w:rsidP="003B4218">
            <w:pPr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  <w:r w:rsidRPr="00895812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5 = meget god effekt</w:t>
            </w:r>
          </w:p>
          <w:p w:rsidR="00536E5E" w:rsidRPr="00895812" w:rsidRDefault="00536E5E" w:rsidP="003B4218">
            <w:pPr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</w:p>
          <w:p w:rsidR="00536E5E" w:rsidRPr="00895812" w:rsidRDefault="00536E5E" w:rsidP="003B4218">
            <w:pPr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  <w:r w:rsidRPr="00895812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Andre effekter</w:t>
            </w:r>
          </w:p>
        </w:tc>
      </w:tr>
      <w:tr w:rsidR="00536E5E" w:rsidRPr="00895812" w:rsidTr="00895812">
        <w:tc>
          <w:tcPr>
            <w:tcW w:w="1135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2268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417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412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662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2313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536E5E" w:rsidRPr="00895812" w:rsidTr="00895812">
        <w:tc>
          <w:tcPr>
            <w:tcW w:w="1135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2268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417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412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662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2313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536E5E" w:rsidRPr="00895812" w:rsidTr="00895812">
        <w:tc>
          <w:tcPr>
            <w:tcW w:w="1135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2268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417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412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662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2313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536E5E" w:rsidRPr="00895812" w:rsidTr="00895812">
        <w:tc>
          <w:tcPr>
            <w:tcW w:w="1135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2268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417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412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662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2313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536E5E" w:rsidRPr="00895812" w:rsidTr="00895812">
        <w:tc>
          <w:tcPr>
            <w:tcW w:w="1135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2268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417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412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662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2313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536E5E" w:rsidRPr="00895812" w:rsidTr="00895812">
        <w:tc>
          <w:tcPr>
            <w:tcW w:w="1135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2268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417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412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662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2313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536E5E" w:rsidRPr="00895812" w:rsidTr="00895812">
        <w:tc>
          <w:tcPr>
            <w:tcW w:w="1135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2268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417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412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662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2313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536E5E" w:rsidRPr="00895812" w:rsidTr="00895812">
        <w:tc>
          <w:tcPr>
            <w:tcW w:w="1135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2268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417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412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662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2313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536E5E" w:rsidRPr="00895812" w:rsidTr="00895812">
        <w:tc>
          <w:tcPr>
            <w:tcW w:w="1135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2268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417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412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662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2313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536E5E" w:rsidRPr="00895812" w:rsidTr="00895812">
        <w:tc>
          <w:tcPr>
            <w:tcW w:w="1135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2268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417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412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662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2313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536E5E" w:rsidRPr="00895812" w:rsidTr="00895812">
        <w:tc>
          <w:tcPr>
            <w:tcW w:w="1135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2268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417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412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662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2313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536E5E" w:rsidRPr="00895812" w:rsidTr="00895812">
        <w:tc>
          <w:tcPr>
            <w:tcW w:w="1135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2268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417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412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662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2313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536E5E" w:rsidRPr="00895812" w:rsidTr="00895812">
        <w:tc>
          <w:tcPr>
            <w:tcW w:w="1135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2268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417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412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662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2313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536E5E" w:rsidRPr="00895812" w:rsidTr="00895812">
        <w:tc>
          <w:tcPr>
            <w:tcW w:w="1135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2268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417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412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662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2313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536E5E" w:rsidRPr="00895812" w:rsidTr="00895812">
        <w:tc>
          <w:tcPr>
            <w:tcW w:w="1135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2268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417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412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662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2313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536E5E" w:rsidRPr="00895812" w:rsidTr="00895812">
        <w:tc>
          <w:tcPr>
            <w:tcW w:w="1135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2268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417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412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662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2313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536E5E" w:rsidRPr="00895812" w:rsidTr="00895812">
        <w:tc>
          <w:tcPr>
            <w:tcW w:w="1135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2268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417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412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662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2313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536E5E" w:rsidRPr="00895812" w:rsidTr="00895812">
        <w:tc>
          <w:tcPr>
            <w:tcW w:w="1135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2268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417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412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662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2313" w:type="dxa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536E5E" w:rsidRPr="00895812" w:rsidTr="00895812">
        <w:tc>
          <w:tcPr>
            <w:tcW w:w="1135" w:type="dxa"/>
            <w:tcBorders>
              <w:bottom w:val="single" w:sz="18" w:space="0" w:color="auto"/>
            </w:tcBorders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412" w:type="dxa"/>
            <w:tcBorders>
              <w:bottom w:val="single" w:sz="18" w:space="0" w:color="auto"/>
            </w:tcBorders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662" w:type="dxa"/>
            <w:tcBorders>
              <w:bottom w:val="single" w:sz="18" w:space="0" w:color="auto"/>
            </w:tcBorders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536E5E" w:rsidRPr="00895812" w:rsidTr="00895812">
        <w:trPr>
          <w:trHeight w:val="510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6E5E" w:rsidRPr="00895812" w:rsidRDefault="00536E5E" w:rsidP="003B421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895812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ANVENDT I</w:t>
            </w:r>
            <w:r w:rsidR="00AF38B9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</w:t>
            </w:r>
            <w:r w:rsidRPr="00895812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ALT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pct25" w:color="auto" w:fill="auto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412" w:type="dxa"/>
            <w:tcBorders>
              <w:top w:val="single" w:sz="18" w:space="0" w:color="auto"/>
              <w:bottom w:val="single" w:sz="18" w:space="0" w:color="auto"/>
            </w:tcBorders>
            <w:shd w:val="pct25" w:color="auto" w:fill="auto"/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662" w:type="dxa"/>
            <w:tcBorders>
              <w:top w:val="single" w:sz="18" w:space="0" w:color="auto"/>
              <w:bottom w:val="single" w:sz="18" w:space="0" w:color="auto"/>
            </w:tcBorders>
          </w:tcPr>
          <w:p w:rsidR="00536E5E" w:rsidRPr="00895812" w:rsidRDefault="00536E5E" w:rsidP="003B42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23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6E5E" w:rsidRPr="00895812" w:rsidRDefault="00536E5E" w:rsidP="003B42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a-DK"/>
              </w:rPr>
            </w:pPr>
          </w:p>
        </w:tc>
      </w:tr>
    </w:tbl>
    <w:p w:rsidR="00CF2A17" w:rsidRPr="00895812" w:rsidRDefault="00CF2A17" w:rsidP="00CF2A17">
      <w:pPr>
        <w:ind w:left="3000" w:hanging="2716"/>
        <w:rPr>
          <w:rFonts w:asciiTheme="minorHAnsi" w:hAnsiTheme="minorHAnsi" w:cstheme="minorHAnsi"/>
          <w:sz w:val="22"/>
          <w:szCs w:val="22"/>
          <w:lang w:val="da-DK"/>
        </w:rPr>
      </w:pPr>
    </w:p>
    <w:p w:rsidR="00067240" w:rsidRPr="00895812" w:rsidRDefault="00067240">
      <w:pPr>
        <w:rPr>
          <w:rFonts w:asciiTheme="minorHAnsi" w:hAnsiTheme="minorHAnsi" w:cstheme="minorHAnsi"/>
          <w:sz w:val="22"/>
          <w:szCs w:val="22"/>
          <w:lang w:val="da-DK"/>
        </w:rPr>
      </w:pPr>
      <w:r w:rsidRPr="00895812">
        <w:rPr>
          <w:rFonts w:asciiTheme="minorHAnsi" w:hAnsiTheme="minorHAnsi" w:cstheme="minorHAnsi"/>
          <w:sz w:val="22"/>
          <w:szCs w:val="22"/>
          <w:lang w:val="da-DK"/>
        </w:rPr>
        <w:t xml:space="preserve">Ubrudt emballage skal returneres til leverandøren </w:t>
      </w:r>
    </w:p>
    <w:p w:rsidR="00067240" w:rsidRPr="00895812" w:rsidRDefault="00067240">
      <w:pPr>
        <w:rPr>
          <w:rFonts w:asciiTheme="minorHAnsi" w:hAnsiTheme="minorHAnsi" w:cstheme="minorHAnsi"/>
          <w:sz w:val="22"/>
          <w:szCs w:val="22"/>
          <w:lang w:val="da-DK"/>
        </w:rPr>
      </w:pPr>
      <w:r w:rsidRPr="00895812">
        <w:rPr>
          <w:rFonts w:asciiTheme="minorHAnsi" w:hAnsiTheme="minorHAnsi" w:cstheme="minorHAnsi"/>
          <w:sz w:val="22"/>
          <w:szCs w:val="22"/>
          <w:lang w:val="da-DK"/>
        </w:rPr>
        <w:t>Tom emballage og rester skal afleveres til den kommunale affaldsordning for farligt affald.</w:t>
      </w:r>
    </w:p>
    <w:p w:rsidR="005F70FB" w:rsidRDefault="00645533" w:rsidP="003F79D7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da-DK"/>
        </w:rPr>
      </w:pPr>
      <w:r w:rsidRPr="00895812">
        <w:rPr>
          <w:rFonts w:asciiTheme="minorHAnsi" w:hAnsiTheme="minorHAnsi" w:cstheme="minorHAnsi"/>
          <w:sz w:val="22"/>
          <w:szCs w:val="22"/>
          <w:lang w:val="da-DK"/>
        </w:rPr>
        <w:br w:type="page"/>
      </w:r>
    </w:p>
    <w:p w:rsidR="005F70FB" w:rsidRDefault="005F70FB" w:rsidP="003F79D7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da-DK"/>
        </w:rPr>
      </w:pPr>
    </w:p>
    <w:p w:rsidR="00E331FE" w:rsidRPr="005F70FB" w:rsidRDefault="00C44F91" w:rsidP="003F79D7">
      <w:pPr>
        <w:spacing w:after="200" w:line="276" w:lineRule="auto"/>
        <w:rPr>
          <w:rFonts w:asciiTheme="minorHAnsi" w:hAnsiTheme="minorHAnsi" w:cstheme="minorHAnsi"/>
          <w:sz w:val="32"/>
          <w:szCs w:val="32"/>
          <w:lang w:val="da-DK"/>
        </w:rPr>
      </w:pPr>
      <w:proofErr w:type="spellStart"/>
      <w:r w:rsidRPr="005F70FB">
        <w:rPr>
          <w:rFonts w:asciiTheme="minorHAnsi" w:hAnsiTheme="minorHAnsi" w:cstheme="minorHAnsi"/>
          <w:b/>
          <w:sz w:val="32"/>
          <w:szCs w:val="32"/>
          <w:lang w:val="da-DK"/>
        </w:rPr>
        <w:t>Ficam</w:t>
      </w:r>
      <w:proofErr w:type="spellEnd"/>
      <w:r w:rsidR="009C361D">
        <w:rPr>
          <w:rFonts w:asciiTheme="minorHAnsi" w:hAnsiTheme="minorHAnsi" w:cstheme="minorHAnsi"/>
          <w:b/>
          <w:sz w:val="32"/>
          <w:szCs w:val="32"/>
          <w:lang w:val="da-DK"/>
        </w:rPr>
        <w:t>®</w:t>
      </w:r>
      <w:r w:rsidRPr="005F70FB">
        <w:rPr>
          <w:rFonts w:asciiTheme="minorHAnsi" w:hAnsiTheme="minorHAnsi" w:cstheme="minorHAnsi"/>
          <w:b/>
          <w:sz w:val="32"/>
          <w:szCs w:val="32"/>
          <w:lang w:val="da-DK"/>
        </w:rPr>
        <w:t xml:space="preserve"> D Mink 2019</w:t>
      </w:r>
      <w:r w:rsidR="00E331FE" w:rsidRPr="005F70FB">
        <w:rPr>
          <w:rFonts w:asciiTheme="minorHAnsi" w:hAnsiTheme="minorHAnsi" w:cstheme="minorHAnsi"/>
          <w:b/>
          <w:sz w:val="32"/>
          <w:szCs w:val="32"/>
          <w:lang w:val="da-DK"/>
        </w:rPr>
        <w:t xml:space="preserve"> er </w:t>
      </w:r>
      <w:r w:rsidR="005F70FB" w:rsidRPr="005F70FB">
        <w:rPr>
          <w:rFonts w:asciiTheme="minorHAnsi" w:hAnsiTheme="minorHAnsi" w:cstheme="minorHAnsi"/>
          <w:b/>
          <w:sz w:val="32"/>
          <w:szCs w:val="32"/>
          <w:lang w:val="da-DK"/>
        </w:rPr>
        <w:t>blevet godkendt på dispensation</w:t>
      </w:r>
    </w:p>
    <w:p w:rsidR="00E331FE" w:rsidRPr="00895812" w:rsidRDefault="00E331FE" w:rsidP="00E331FE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  <w:lang w:val="da-DK"/>
        </w:rPr>
      </w:pPr>
    </w:p>
    <w:p w:rsidR="00E331FE" w:rsidRPr="005F70FB" w:rsidRDefault="00C44F91" w:rsidP="00E331FE">
      <w:pPr>
        <w:spacing w:after="200" w:line="276" w:lineRule="auto"/>
        <w:rPr>
          <w:rFonts w:asciiTheme="minorHAnsi" w:hAnsiTheme="minorHAnsi" w:cstheme="minorHAnsi"/>
          <w:sz w:val="26"/>
          <w:szCs w:val="26"/>
          <w:lang w:val="da-DK"/>
        </w:rPr>
      </w:pPr>
      <w:proofErr w:type="spellStart"/>
      <w:r w:rsidRPr="005F70FB">
        <w:rPr>
          <w:rFonts w:asciiTheme="minorHAnsi" w:hAnsiTheme="minorHAnsi" w:cstheme="minorHAnsi"/>
          <w:sz w:val="26"/>
          <w:szCs w:val="26"/>
          <w:lang w:val="da-DK"/>
        </w:rPr>
        <w:t>Ficam</w:t>
      </w:r>
      <w:proofErr w:type="spellEnd"/>
      <w:r w:rsidR="009C361D">
        <w:rPr>
          <w:rFonts w:asciiTheme="minorHAnsi" w:hAnsiTheme="minorHAnsi" w:cstheme="minorHAnsi"/>
          <w:sz w:val="26"/>
          <w:szCs w:val="26"/>
          <w:lang w:val="da-DK"/>
        </w:rPr>
        <w:t>®</w:t>
      </w:r>
      <w:r w:rsidRPr="005F70FB">
        <w:rPr>
          <w:rFonts w:asciiTheme="minorHAnsi" w:hAnsiTheme="minorHAnsi" w:cstheme="minorHAnsi"/>
          <w:sz w:val="26"/>
          <w:szCs w:val="26"/>
          <w:lang w:val="da-DK"/>
        </w:rPr>
        <w:t xml:space="preserve"> D Mink 2019</w:t>
      </w:r>
      <w:r w:rsidR="00E331FE" w:rsidRPr="005F70FB">
        <w:rPr>
          <w:rFonts w:asciiTheme="minorHAnsi" w:hAnsiTheme="minorHAnsi" w:cstheme="minorHAnsi"/>
          <w:sz w:val="26"/>
          <w:szCs w:val="26"/>
          <w:lang w:val="da-DK"/>
        </w:rPr>
        <w:t xml:space="preserve"> er blevet godkendt på dispensation frem til 1</w:t>
      </w:r>
      <w:r w:rsidR="00EB3F00" w:rsidRPr="005F70FB">
        <w:rPr>
          <w:rFonts w:asciiTheme="minorHAnsi" w:hAnsiTheme="minorHAnsi" w:cstheme="minorHAnsi"/>
          <w:sz w:val="26"/>
          <w:szCs w:val="26"/>
          <w:lang w:val="da-DK"/>
        </w:rPr>
        <w:t>6 november 2019</w:t>
      </w:r>
      <w:r w:rsidR="00E331FE" w:rsidRPr="005F70FB">
        <w:rPr>
          <w:rFonts w:asciiTheme="minorHAnsi" w:hAnsiTheme="minorHAnsi" w:cstheme="minorHAnsi"/>
          <w:sz w:val="26"/>
          <w:szCs w:val="26"/>
          <w:lang w:val="da-DK"/>
        </w:rPr>
        <w:t>. Miljøstyrelsen har stillet en række betingelser</w:t>
      </w:r>
      <w:r w:rsidR="005F70FB">
        <w:rPr>
          <w:rFonts w:asciiTheme="minorHAnsi" w:hAnsiTheme="minorHAnsi" w:cstheme="minorHAnsi"/>
          <w:sz w:val="26"/>
          <w:szCs w:val="26"/>
          <w:lang w:val="da-DK"/>
        </w:rPr>
        <w:t>,</w:t>
      </w:r>
      <w:r w:rsidR="00E331FE" w:rsidRPr="005F70FB">
        <w:rPr>
          <w:rFonts w:asciiTheme="minorHAnsi" w:hAnsiTheme="minorHAnsi" w:cstheme="minorHAnsi"/>
          <w:sz w:val="26"/>
          <w:szCs w:val="26"/>
          <w:lang w:val="da-DK"/>
        </w:rPr>
        <w:t xml:space="preserve"> der betyder, at vi alle sammen skal arbejde tæt sammen for at vise</w:t>
      </w:r>
      <w:r w:rsidR="00F53671">
        <w:rPr>
          <w:rFonts w:asciiTheme="minorHAnsi" w:hAnsiTheme="minorHAnsi" w:cstheme="minorHAnsi"/>
          <w:sz w:val="26"/>
          <w:szCs w:val="26"/>
          <w:lang w:val="da-DK"/>
        </w:rPr>
        <w:t>,</w:t>
      </w:r>
      <w:r w:rsidR="00E331FE" w:rsidRPr="005F70FB">
        <w:rPr>
          <w:rFonts w:asciiTheme="minorHAnsi" w:hAnsiTheme="minorHAnsi" w:cstheme="minorHAnsi"/>
          <w:sz w:val="26"/>
          <w:szCs w:val="26"/>
          <w:lang w:val="da-DK"/>
        </w:rPr>
        <w:t xml:space="preserve"> at vi overholder betinge</w:t>
      </w:r>
      <w:r w:rsidR="00341017" w:rsidRPr="005F70FB">
        <w:rPr>
          <w:rFonts w:asciiTheme="minorHAnsi" w:hAnsiTheme="minorHAnsi" w:cstheme="minorHAnsi"/>
          <w:sz w:val="26"/>
          <w:szCs w:val="26"/>
          <w:lang w:val="da-DK"/>
        </w:rPr>
        <w:t>lserne i dispensationen for 2019</w:t>
      </w:r>
      <w:r w:rsidR="00E331FE" w:rsidRPr="005F70FB">
        <w:rPr>
          <w:rFonts w:asciiTheme="minorHAnsi" w:hAnsiTheme="minorHAnsi" w:cstheme="minorHAnsi"/>
          <w:sz w:val="26"/>
          <w:szCs w:val="26"/>
          <w:lang w:val="da-DK"/>
        </w:rPr>
        <w:t xml:space="preserve">. </w:t>
      </w:r>
    </w:p>
    <w:p w:rsidR="00E331FE" w:rsidRPr="005F70FB" w:rsidRDefault="00C44F91" w:rsidP="00E331FE">
      <w:pPr>
        <w:spacing w:after="200" w:line="276" w:lineRule="auto"/>
        <w:rPr>
          <w:rFonts w:asciiTheme="minorHAnsi" w:hAnsiTheme="minorHAnsi" w:cstheme="minorHAnsi"/>
          <w:sz w:val="26"/>
          <w:szCs w:val="26"/>
          <w:lang w:val="da-DK"/>
        </w:rPr>
      </w:pPr>
      <w:r w:rsidRPr="005F70FB">
        <w:rPr>
          <w:rFonts w:asciiTheme="minorHAnsi" w:hAnsiTheme="minorHAnsi" w:cstheme="minorHAnsi"/>
          <w:sz w:val="26"/>
          <w:szCs w:val="26"/>
          <w:lang w:val="da-DK"/>
        </w:rPr>
        <w:t>Det betyder</w:t>
      </w:r>
      <w:r w:rsidR="00F53671">
        <w:rPr>
          <w:rFonts w:asciiTheme="minorHAnsi" w:hAnsiTheme="minorHAnsi" w:cstheme="minorHAnsi"/>
          <w:sz w:val="26"/>
          <w:szCs w:val="26"/>
          <w:lang w:val="da-DK"/>
        </w:rPr>
        <w:t>,</w:t>
      </w:r>
      <w:r w:rsidRPr="005F70FB">
        <w:rPr>
          <w:rFonts w:asciiTheme="minorHAnsi" w:hAnsiTheme="minorHAnsi" w:cstheme="minorHAnsi"/>
          <w:sz w:val="26"/>
          <w:szCs w:val="26"/>
          <w:lang w:val="da-DK"/>
        </w:rPr>
        <w:t xml:space="preserve"> at </w:t>
      </w:r>
      <w:proofErr w:type="spellStart"/>
      <w:r w:rsidRPr="005F70FB">
        <w:rPr>
          <w:rFonts w:asciiTheme="minorHAnsi" w:hAnsiTheme="minorHAnsi" w:cstheme="minorHAnsi"/>
          <w:sz w:val="26"/>
          <w:szCs w:val="26"/>
          <w:lang w:val="da-DK"/>
        </w:rPr>
        <w:t>Ficam</w:t>
      </w:r>
      <w:proofErr w:type="spellEnd"/>
      <w:r w:rsidR="009C361D">
        <w:rPr>
          <w:rFonts w:asciiTheme="minorHAnsi" w:hAnsiTheme="minorHAnsi" w:cstheme="minorHAnsi"/>
          <w:sz w:val="26"/>
          <w:szCs w:val="26"/>
          <w:lang w:val="da-DK"/>
        </w:rPr>
        <w:t>®</w:t>
      </w:r>
      <w:r w:rsidRPr="005F70FB">
        <w:rPr>
          <w:rFonts w:asciiTheme="minorHAnsi" w:hAnsiTheme="minorHAnsi" w:cstheme="minorHAnsi"/>
          <w:sz w:val="26"/>
          <w:szCs w:val="26"/>
          <w:lang w:val="da-DK"/>
        </w:rPr>
        <w:t xml:space="preserve"> D Mink 2019</w:t>
      </w:r>
      <w:r w:rsidR="00E331FE" w:rsidRPr="005F70FB">
        <w:rPr>
          <w:rFonts w:asciiTheme="minorHAnsi" w:hAnsiTheme="minorHAnsi" w:cstheme="minorHAnsi"/>
          <w:sz w:val="26"/>
          <w:szCs w:val="26"/>
          <w:lang w:val="da-DK"/>
        </w:rPr>
        <w:t xml:space="preserve"> kun kan købes på følgende betingelser:</w:t>
      </w:r>
    </w:p>
    <w:p w:rsidR="00E331FE" w:rsidRPr="005F70FB" w:rsidRDefault="00E331FE" w:rsidP="00E331FE">
      <w:pPr>
        <w:pStyle w:val="Listeafsnit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6"/>
          <w:szCs w:val="26"/>
          <w:lang w:val="da-DK"/>
        </w:rPr>
      </w:pPr>
      <w:r w:rsidRPr="005F70FB">
        <w:rPr>
          <w:rFonts w:asciiTheme="minorHAnsi" w:hAnsiTheme="minorHAnsi" w:cstheme="minorHAnsi"/>
          <w:sz w:val="26"/>
          <w:szCs w:val="26"/>
          <w:lang w:val="da-DK"/>
        </w:rPr>
        <w:t>Minkavleren skal fremvise en dyrlægejournal fra et rådgivningsbesøg, hvor loppeproblemet beskrives</w:t>
      </w:r>
      <w:r w:rsidR="00F53671">
        <w:rPr>
          <w:rFonts w:asciiTheme="minorHAnsi" w:hAnsiTheme="minorHAnsi" w:cstheme="minorHAnsi"/>
          <w:sz w:val="26"/>
          <w:szCs w:val="26"/>
          <w:lang w:val="da-DK"/>
        </w:rPr>
        <w:t>, og hvor det fremgår, at problemet</w:t>
      </w:r>
      <w:r w:rsidRPr="005F70FB">
        <w:rPr>
          <w:rFonts w:asciiTheme="minorHAnsi" w:hAnsiTheme="minorHAnsi" w:cstheme="minorHAnsi"/>
          <w:sz w:val="26"/>
          <w:szCs w:val="26"/>
          <w:lang w:val="da-DK"/>
        </w:rPr>
        <w:t xml:space="preserve"> ikke </w:t>
      </w:r>
      <w:r w:rsidR="00F53671">
        <w:rPr>
          <w:rFonts w:asciiTheme="minorHAnsi" w:hAnsiTheme="minorHAnsi" w:cstheme="minorHAnsi"/>
          <w:sz w:val="26"/>
          <w:szCs w:val="26"/>
          <w:lang w:val="da-DK"/>
        </w:rPr>
        <w:t xml:space="preserve">har kunnet </w:t>
      </w:r>
      <w:r w:rsidRPr="005F70FB">
        <w:rPr>
          <w:rFonts w:asciiTheme="minorHAnsi" w:hAnsiTheme="minorHAnsi" w:cstheme="minorHAnsi"/>
          <w:sz w:val="26"/>
          <w:szCs w:val="26"/>
          <w:lang w:val="da-DK"/>
        </w:rPr>
        <w:t xml:space="preserve">løses på anden måde. </w:t>
      </w:r>
    </w:p>
    <w:p w:rsidR="00E331FE" w:rsidRPr="005F70FB" w:rsidRDefault="00E331FE" w:rsidP="00E331FE">
      <w:pPr>
        <w:pStyle w:val="Listeafsnit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6"/>
          <w:szCs w:val="26"/>
          <w:lang w:val="da-DK"/>
        </w:rPr>
      </w:pPr>
      <w:r w:rsidRPr="005F70FB">
        <w:rPr>
          <w:rFonts w:asciiTheme="minorHAnsi" w:hAnsiTheme="minorHAnsi" w:cstheme="minorHAnsi"/>
          <w:sz w:val="26"/>
          <w:szCs w:val="26"/>
          <w:lang w:val="da-DK"/>
        </w:rPr>
        <w:t>Minkavler og dyrlæge udfylder og skriver under på en erklæring herom.</w:t>
      </w:r>
    </w:p>
    <w:p w:rsidR="00E331FE" w:rsidRPr="005F70FB" w:rsidRDefault="00E331FE" w:rsidP="00E331FE">
      <w:pPr>
        <w:pStyle w:val="Listeafsnit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6"/>
          <w:szCs w:val="26"/>
          <w:lang w:val="da-DK"/>
        </w:rPr>
      </w:pPr>
      <w:r w:rsidRPr="005F70FB">
        <w:rPr>
          <w:rFonts w:asciiTheme="minorHAnsi" w:hAnsiTheme="minorHAnsi" w:cstheme="minorHAnsi"/>
          <w:sz w:val="26"/>
          <w:szCs w:val="26"/>
          <w:lang w:val="da-DK"/>
        </w:rPr>
        <w:t>Minkavleren skal føre journal over de udførte be</w:t>
      </w:r>
      <w:r w:rsidR="00C44F91" w:rsidRPr="005F70FB">
        <w:rPr>
          <w:rFonts w:asciiTheme="minorHAnsi" w:hAnsiTheme="minorHAnsi" w:cstheme="minorHAnsi"/>
          <w:sz w:val="26"/>
          <w:szCs w:val="26"/>
          <w:lang w:val="da-DK"/>
        </w:rPr>
        <w:t xml:space="preserve">handlinger med </w:t>
      </w:r>
      <w:proofErr w:type="spellStart"/>
      <w:r w:rsidR="00C44F91" w:rsidRPr="005F70FB">
        <w:rPr>
          <w:rFonts w:asciiTheme="minorHAnsi" w:hAnsiTheme="minorHAnsi" w:cstheme="minorHAnsi"/>
          <w:sz w:val="26"/>
          <w:szCs w:val="26"/>
          <w:lang w:val="da-DK"/>
        </w:rPr>
        <w:t>Ficam</w:t>
      </w:r>
      <w:proofErr w:type="spellEnd"/>
      <w:r w:rsidR="009C361D">
        <w:rPr>
          <w:rFonts w:asciiTheme="minorHAnsi" w:hAnsiTheme="minorHAnsi" w:cstheme="minorHAnsi"/>
          <w:sz w:val="26"/>
          <w:szCs w:val="26"/>
          <w:lang w:val="da-DK"/>
        </w:rPr>
        <w:t>®</w:t>
      </w:r>
      <w:r w:rsidR="00C44F91" w:rsidRPr="005F70FB">
        <w:rPr>
          <w:rFonts w:asciiTheme="minorHAnsi" w:hAnsiTheme="minorHAnsi" w:cstheme="minorHAnsi"/>
          <w:sz w:val="26"/>
          <w:szCs w:val="26"/>
          <w:lang w:val="da-DK"/>
        </w:rPr>
        <w:t xml:space="preserve"> D Mink 2019</w:t>
      </w:r>
      <w:r w:rsidRPr="005F70FB">
        <w:rPr>
          <w:rFonts w:asciiTheme="minorHAnsi" w:hAnsiTheme="minorHAnsi" w:cstheme="minorHAnsi"/>
          <w:sz w:val="26"/>
          <w:szCs w:val="26"/>
          <w:lang w:val="da-DK"/>
        </w:rPr>
        <w:t xml:space="preserve">, med angivelse af om behandlingen har været effektiv. Behandlingsjournalen skal sendes til Bayer </w:t>
      </w:r>
      <w:r w:rsidR="00EB3F00" w:rsidRPr="005F70FB">
        <w:rPr>
          <w:rFonts w:asciiTheme="minorHAnsi" w:hAnsiTheme="minorHAnsi" w:cstheme="minorHAnsi"/>
          <w:b/>
          <w:sz w:val="26"/>
          <w:szCs w:val="26"/>
          <w:lang w:val="da-DK"/>
        </w:rPr>
        <w:t>senest 15 januar 2020</w:t>
      </w:r>
      <w:r w:rsidR="009C361D">
        <w:rPr>
          <w:rFonts w:asciiTheme="minorHAnsi" w:hAnsiTheme="minorHAnsi" w:cstheme="minorHAnsi"/>
          <w:sz w:val="26"/>
          <w:szCs w:val="26"/>
          <w:lang w:val="da-DK"/>
        </w:rPr>
        <w:t xml:space="preserve"> på mailadressen:</w:t>
      </w:r>
      <w:r w:rsidRPr="005F70FB">
        <w:rPr>
          <w:rFonts w:asciiTheme="minorHAnsi" w:hAnsiTheme="minorHAnsi" w:cstheme="minorHAnsi"/>
          <w:sz w:val="26"/>
          <w:szCs w:val="26"/>
          <w:lang w:val="da-DK"/>
        </w:rPr>
        <w:t xml:space="preserve">  </w:t>
      </w:r>
      <w:hyperlink r:id="rId8" w:history="1">
        <w:r w:rsidR="00C44F91" w:rsidRPr="005F70FB">
          <w:rPr>
            <w:rStyle w:val="Hyperlink"/>
            <w:rFonts w:asciiTheme="minorHAnsi" w:hAnsiTheme="minorHAnsi" w:cstheme="minorHAnsi"/>
            <w:sz w:val="26"/>
            <w:szCs w:val="26"/>
            <w:lang w:val="da-DK"/>
          </w:rPr>
          <w:t>ficammink2019@bayer.com</w:t>
        </w:r>
      </w:hyperlink>
    </w:p>
    <w:p w:rsidR="00E331FE" w:rsidRPr="005F70FB" w:rsidRDefault="00E331FE" w:rsidP="00E331FE">
      <w:pPr>
        <w:pStyle w:val="Listeafsnit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6"/>
          <w:szCs w:val="26"/>
          <w:lang w:val="da-DK"/>
        </w:rPr>
      </w:pPr>
      <w:proofErr w:type="spellStart"/>
      <w:r w:rsidRPr="005F70FB">
        <w:rPr>
          <w:rFonts w:asciiTheme="minorHAnsi" w:hAnsiTheme="minorHAnsi" w:cstheme="minorHAnsi"/>
          <w:sz w:val="26"/>
          <w:szCs w:val="26"/>
          <w:lang w:val="da-DK"/>
        </w:rPr>
        <w:t>Ficam</w:t>
      </w:r>
      <w:proofErr w:type="spellEnd"/>
      <w:r w:rsidR="009C361D">
        <w:rPr>
          <w:rFonts w:asciiTheme="minorHAnsi" w:hAnsiTheme="minorHAnsi" w:cstheme="minorHAnsi"/>
          <w:sz w:val="26"/>
          <w:szCs w:val="26"/>
          <w:lang w:val="da-DK"/>
        </w:rPr>
        <w:t>®</w:t>
      </w:r>
      <w:r w:rsidRPr="005F70FB">
        <w:rPr>
          <w:rFonts w:asciiTheme="minorHAnsi" w:hAnsiTheme="minorHAnsi" w:cstheme="minorHAnsi"/>
          <w:sz w:val="26"/>
          <w:szCs w:val="26"/>
          <w:lang w:val="da-DK"/>
        </w:rPr>
        <w:t xml:space="preserve"> D Mink 2</w:t>
      </w:r>
      <w:r w:rsidR="00C44F91" w:rsidRPr="005F70FB">
        <w:rPr>
          <w:rFonts w:asciiTheme="minorHAnsi" w:hAnsiTheme="minorHAnsi" w:cstheme="minorHAnsi"/>
          <w:sz w:val="26"/>
          <w:szCs w:val="26"/>
          <w:lang w:val="da-DK"/>
        </w:rPr>
        <w:t>019 må ikke anvendes efter d. 16 november 2019</w:t>
      </w:r>
      <w:r w:rsidR="009C361D">
        <w:rPr>
          <w:rFonts w:asciiTheme="minorHAnsi" w:hAnsiTheme="minorHAnsi" w:cstheme="minorHAnsi"/>
          <w:sz w:val="26"/>
          <w:szCs w:val="26"/>
          <w:lang w:val="da-DK"/>
        </w:rPr>
        <w:t>,</w:t>
      </w:r>
      <w:r w:rsidRPr="005F70FB">
        <w:rPr>
          <w:rFonts w:asciiTheme="minorHAnsi" w:hAnsiTheme="minorHAnsi" w:cstheme="minorHAnsi"/>
          <w:sz w:val="26"/>
          <w:szCs w:val="26"/>
          <w:lang w:val="da-DK"/>
        </w:rPr>
        <w:t xml:space="preserve"> hvorefter ubrudt emballage skal returneres til </w:t>
      </w:r>
      <w:r w:rsidR="009C361D">
        <w:rPr>
          <w:rFonts w:asciiTheme="minorHAnsi" w:hAnsiTheme="minorHAnsi" w:cstheme="minorHAnsi"/>
          <w:sz w:val="26"/>
          <w:szCs w:val="26"/>
          <w:lang w:val="da-DK"/>
        </w:rPr>
        <w:t>leverandøren og tom emballage samt</w:t>
      </w:r>
      <w:r w:rsidRPr="005F70FB">
        <w:rPr>
          <w:rFonts w:asciiTheme="minorHAnsi" w:hAnsiTheme="minorHAnsi" w:cstheme="minorHAnsi"/>
          <w:sz w:val="26"/>
          <w:szCs w:val="26"/>
          <w:lang w:val="da-DK"/>
        </w:rPr>
        <w:t xml:space="preserve"> rester skal afleveres til den kommunale affaldsordning for farligt affald.</w:t>
      </w:r>
    </w:p>
    <w:p w:rsidR="00E331FE" w:rsidRPr="005F70FB" w:rsidRDefault="00E331FE" w:rsidP="00E331FE">
      <w:pPr>
        <w:pStyle w:val="Listeafsnit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6"/>
          <w:szCs w:val="26"/>
          <w:lang w:val="da-DK"/>
        </w:rPr>
      </w:pPr>
      <w:r w:rsidRPr="005F70FB">
        <w:rPr>
          <w:rFonts w:asciiTheme="minorHAnsi" w:hAnsiTheme="minorHAnsi" w:cstheme="minorHAnsi"/>
          <w:sz w:val="26"/>
          <w:szCs w:val="26"/>
          <w:lang w:val="da-DK"/>
        </w:rPr>
        <w:t>Efter dispensationens afslutning skal Bayer indsende dokumentationen til Miljøstyrelsen sammen med en rapport om behandlingens effekt.</w:t>
      </w:r>
    </w:p>
    <w:p w:rsidR="00E331FE" w:rsidRPr="005F70FB" w:rsidRDefault="00E331FE" w:rsidP="00E331FE">
      <w:pPr>
        <w:pStyle w:val="Listeafsnit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6"/>
          <w:szCs w:val="26"/>
          <w:lang w:val="da-DK"/>
        </w:rPr>
      </w:pPr>
      <w:r w:rsidRPr="005F70FB">
        <w:rPr>
          <w:rFonts w:asciiTheme="minorHAnsi" w:hAnsiTheme="minorHAnsi" w:cstheme="minorHAnsi"/>
          <w:sz w:val="26"/>
          <w:szCs w:val="26"/>
          <w:lang w:val="da-DK"/>
        </w:rPr>
        <w:t xml:space="preserve">I tilfælde af at der opstår bivirkninger ved behandlingen </w:t>
      </w:r>
      <w:r w:rsidR="009C361D">
        <w:rPr>
          <w:rFonts w:asciiTheme="minorHAnsi" w:hAnsiTheme="minorHAnsi" w:cstheme="minorHAnsi"/>
          <w:sz w:val="26"/>
          <w:szCs w:val="26"/>
          <w:lang w:val="da-DK"/>
        </w:rPr>
        <w:t xml:space="preserve">med </w:t>
      </w:r>
      <w:proofErr w:type="spellStart"/>
      <w:r w:rsidR="009C361D" w:rsidRPr="005F70FB">
        <w:rPr>
          <w:rFonts w:asciiTheme="minorHAnsi" w:hAnsiTheme="minorHAnsi" w:cstheme="minorHAnsi"/>
          <w:sz w:val="26"/>
          <w:szCs w:val="26"/>
          <w:lang w:val="da-DK"/>
        </w:rPr>
        <w:t>Ficam</w:t>
      </w:r>
      <w:proofErr w:type="spellEnd"/>
      <w:r w:rsidR="009C361D">
        <w:rPr>
          <w:rFonts w:asciiTheme="minorHAnsi" w:hAnsiTheme="minorHAnsi" w:cstheme="minorHAnsi"/>
          <w:sz w:val="26"/>
          <w:szCs w:val="26"/>
          <w:lang w:val="da-DK"/>
        </w:rPr>
        <w:t>®</w:t>
      </w:r>
      <w:r w:rsidR="009C361D" w:rsidRPr="005F70FB">
        <w:rPr>
          <w:rFonts w:asciiTheme="minorHAnsi" w:hAnsiTheme="minorHAnsi" w:cstheme="minorHAnsi"/>
          <w:sz w:val="26"/>
          <w:szCs w:val="26"/>
          <w:lang w:val="da-DK"/>
        </w:rPr>
        <w:t xml:space="preserve"> D Mink 2019 </w:t>
      </w:r>
      <w:r w:rsidRPr="005F70FB">
        <w:rPr>
          <w:rFonts w:asciiTheme="minorHAnsi" w:hAnsiTheme="minorHAnsi" w:cstheme="minorHAnsi"/>
          <w:sz w:val="26"/>
          <w:szCs w:val="26"/>
          <w:lang w:val="da-DK"/>
        </w:rPr>
        <w:t xml:space="preserve">bedes disse meddelt til Bayer. </w:t>
      </w:r>
    </w:p>
    <w:p w:rsidR="0026278F" w:rsidRPr="005F70FB" w:rsidRDefault="00E331FE">
      <w:pPr>
        <w:spacing w:after="200" w:line="276" w:lineRule="auto"/>
        <w:rPr>
          <w:rFonts w:asciiTheme="minorHAnsi" w:hAnsiTheme="minorHAnsi" w:cstheme="minorHAnsi"/>
          <w:sz w:val="26"/>
          <w:szCs w:val="26"/>
          <w:lang w:val="da-DK"/>
        </w:rPr>
      </w:pPr>
      <w:r w:rsidRPr="005F70FB">
        <w:rPr>
          <w:rFonts w:asciiTheme="minorHAnsi" w:hAnsiTheme="minorHAnsi" w:cstheme="minorHAnsi"/>
          <w:sz w:val="26"/>
          <w:szCs w:val="26"/>
          <w:lang w:val="da-DK"/>
        </w:rPr>
        <w:t xml:space="preserve">  </w:t>
      </w:r>
    </w:p>
    <w:p w:rsidR="00E331FE" w:rsidRPr="005F70FB" w:rsidRDefault="00E331FE">
      <w:pPr>
        <w:spacing w:after="200" w:line="276" w:lineRule="auto"/>
        <w:rPr>
          <w:rFonts w:asciiTheme="minorHAnsi" w:hAnsiTheme="minorHAnsi" w:cstheme="minorHAnsi"/>
          <w:sz w:val="26"/>
          <w:szCs w:val="26"/>
          <w:lang w:val="da-DK"/>
        </w:rPr>
      </w:pPr>
      <w:r w:rsidRPr="005F70FB">
        <w:rPr>
          <w:rFonts w:asciiTheme="minorHAnsi" w:hAnsiTheme="minorHAnsi" w:cstheme="minorHAnsi"/>
          <w:sz w:val="26"/>
          <w:szCs w:val="26"/>
          <w:lang w:val="da-DK"/>
        </w:rPr>
        <w:t>Med venlig hilsen</w:t>
      </w:r>
    </w:p>
    <w:p w:rsidR="00E331FE" w:rsidRPr="005F70FB" w:rsidRDefault="00E331FE">
      <w:pPr>
        <w:spacing w:after="200" w:line="276" w:lineRule="auto"/>
        <w:rPr>
          <w:rFonts w:asciiTheme="minorHAnsi" w:hAnsiTheme="minorHAnsi" w:cstheme="minorHAnsi"/>
          <w:sz w:val="26"/>
          <w:szCs w:val="26"/>
          <w:highlight w:val="cyan"/>
          <w:lang w:val="da-DK"/>
        </w:rPr>
      </w:pPr>
      <w:r w:rsidRPr="005F70FB">
        <w:rPr>
          <w:rFonts w:asciiTheme="minorHAnsi" w:hAnsiTheme="minorHAnsi" w:cstheme="minorHAnsi"/>
          <w:sz w:val="26"/>
          <w:szCs w:val="26"/>
          <w:lang w:val="da-DK"/>
        </w:rPr>
        <w:t>Bayer A/S</w:t>
      </w:r>
    </w:p>
    <w:sectPr w:rsidR="00E331FE" w:rsidRPr="005F70FB" w:rsidSect="00E331FE">
      <w:headerReference w:type="default" r:id="rId9"/>
      <w:footerReference w:type="default" r:id="rId10"/>
      <w:pgSz w:w="12240" w:h="15840"/>
      <w:pgMar w:top="1440" w:right="13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7AD" w:rsidRDefault="007957AD" w:rsidP="00465A47">
      <w:r>
        <w:separator/>
      </w:r>
    </w:p>
  </w:endnote>
  <w:endnote w:type="continuationSeparator" w:id="0">
    <w:p w:rsidR="007957AD" w:rsidRDefault="007957AD" w:rsidP="0046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33" w:rsidRPr="003B4218" w:rsidRDefault="00645533" w:rsidP="003B4218">
    <w:pPr>
      <w:jc w:val="both"/>
      <w:rPr>
        <w:rFonts w:ascii="Arial" w:hAnsi="Arial" w:cs="Arial"/>
        <w:sz w:val="18"/>
        <w:szCs w:val="18"/>
        <w:lang w:val="da-DK"/>
      </w:rPr>
    </w:pPr>
    <w:r w:rsidRPr="0051276F">
      <w:rPr>
        <w:rFonts w:ascii="Arial" w:hAnsi="Arial" w:cs="Arial"/>
        <w:sz w:val="18"/>
        <w:szCs w:val="18"/>
        <w:lang w:val="da-DK"/>
      </w:rPr>
      <w:t xml:space="preserve">* For at </w:t>
    </w:r>
    <w:r w:rsidR="00EB3F00">
      <w:rPr>
        <w:rFonts w:ascii="Arial" w:hAnsi="Arial" w:cs="Arial"/>
        <w:sz w:val="18"/>
        <w:szCs w:val="18"/>
        <w:lang w:val="da-DK"/>
      </w:rPr>
      <w:t xml:space="preserve">kunne levere </w:t>
    </w:r>
    <w:proofErr w:type="spellStart"/>
    <w:r w:rsidR="00EB3F00">
      <w:rPr>
        <w:rFonts w:ascii="Arial" w:hAnsi="Arial" w:cs="Arial"/>
        <w:sz w:val="18"/>
        <w:szCs w:val="18"/>
        <w:lang w:val="da-DK"/>
      </w:rPr>
      <w:t>Ficam</w:t>
    </w:r>
    <w:proofErr w:type="spellEnd"/>
    <w:r w:rsidR="009C361D" w:rsidRPr="009C361D">
      <w:rPr>
        <w:rFonts w:ascii="Arial" w:hAnsi="Arial" w:cs="Arial"/>
        <w:sz w:val="18"/>
        <w:szCs w:val="18"/>
        <w:vertAlign w:val="superscript"/>
        <w:lang w:val="da-DK"/>
      </w:rPr>
      <w:t>®</w:t>
    </w:r>
    <w:r w:rsidR="00EB3F00">
      <w:rPr>
        <w:rFonts w:ascii="Arial" w:hAnsi="Arial" w:cs="Arial"/>
        <w:sz w:val="18"/>
        <w:szCs w:val="18"/>
        <w:lang w:val="da-DK"/>
      </w:rPr>
      <w:t xml:space="preserve"> D Mink 2019</w:t>
    </w:r>
    <w:r w:rsidRPr="0051276F">
      <w:rPr>
        <w:rFonts w:ascii="Arial" w:hAnsi="Arial" w:cs="Arial"/>
        <w:sz w:val="18"/>
        <w:szCs w:val="18"/>
        <w:lang w:val="da-DK"/>
      </w:rPr>
      <w:t xml:space="preserve"> skal Bayer A/S have adgang til oplysningerne ovenfor. Dette skyldes, at Bayer A/S skal have mulighed for at kontakte dyrlæger og minkavlere/brugere for at sikre korrekt rapportering til Miljøstyrelsen angående brugen af produktet under dispensationsperioden. Ved at udfylde ovenstående formular giver du samtykke til at Bayer A/S opbevarer dine oplysninger under dispensationsperioden samt mens rapporteringen pågår</w:t>
    </w:r>
    <w:r>
      <w:rPr>
        <w:rFonts w:ascii="Arial" w:hAnsi="Arial" w:cs="Arial"/>
        <w:sz w:val="18"/>
        <w:szCs w:val="18"/>
        <w:lang w:val="da-DK"/>
      </w:rPr>
      <w:t>.</w:t>
    </w:r>
    <w:r w:rsidRPr="00515DB7">
      <w:rPr>
        <w:rFonts w:ascii="Arial" w:hAnsi="Arial" w:cs="Arial"/>
        <w:sz w:val="18"/>
        <w:szCs w:val="18"/>
        <w:lang w:val="da-DK"/>
      </w:rPr>
      <w:t xml:space="preserve"> Ovenstående oplysninger anvendes udelukkende for at opfylde betingelserne i Miljøstyrelsens dispensation og vil blive opbevaret i op til 24 måneder</w:t>
    </w:r>
    <w:r>
      <w:rPr>
        <w:rFonts w:ascii="Arial" w:hAnsi="Arial" w:cs="Arial"/>
        <w:sz w:val="18"/>
        <w:szCs w:val="18"/>
        <w:lang w:val="da-DK"/>
      </w:rPr>
      <w:t>.</w:t>
    </w:r>
    <w:r w:rsidRPr="0051276F">
      <w:rPr>
        <w:rFonts w:ascii="Arial" w:hAnsi="Arial" w:cs="Arial"/>
        <w:sz w:val="18"/>
        <w:szCs w:val="18"/>
        <w:lang w:val="da-DK"/>
      </w:rPr>
      <w:t xml:space="preserve"> Derefter vil dine oplysninger blive slettet.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7AD" w:rsidRDefault="007957AD" w:rsidP="00465A47">
      <w:r>
        <w:separator/>
      </w:r>
    </w:p>
  </w:footnote>
  <w:footnote w:type="continuationSeparator" w:id="0">
    <w:p w:rsidR="007957AD" w:rsidRDefault="007957AD" w:rsidP="00465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A47" w:rsidRDefault="00465A47">
    <w:pPr>
      <w:pStyle w:val="Sidehoved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EC516DF" wp14:editId="7A0B3AAE">
          <wp:simplePos x="0" y="0"/>
          <wp:positionH relativeFrom="column">
            <wp:posOffset>5114925</wp:posOffset>
          </wp:positionH>
          <wp:positionV relativeFrom="paragraph">
            <wp:posOffset>-135255</wp:posOffset>
          </wp:positionV>
          <wp:extent cx="808075" cy="8080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UE_Bayerpour lett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8075" cy="80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1D4"/>
    <w:multiLevelType w:val="hybridMultilevel"/>
    <w:tmpl w:val="637C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122B9"/>
    <w:multiLevelType w:val="hybridMultilevel"/>
    <w:tmpl w:val="7FE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D4534"/>
    <w:multiLevelType w:val="hybridMultilevel"/>
    <w:tmpl w:val="F18E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C6123"/>
    <w:multiLevelType w:val="hybridMultilevel"/>
    <w:tmpl w:val="8560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32567"/>
    <w:multiLevelType w:val="hybridMultilevel"/>
    <w:tmpl w:val="F98639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63ACD"/>
    <w:multiLevelType w:val="hybridMultilevel"/>
    <w:tmpl w:val="2AE8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3343A"/>
    <w:multiLevelType w:val="hybridMultilevel"/>
    <w:tmpl w:val="9926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23"/>
    <w:rsid w:val="000304A9"/>
    <w:rsid w:val="00067240"/>
    <w:rsid w:val="000E2B3F"/>
    <w:rsid w:val="00134BBC"/>
    <w:rsid w:val="001A2D84"/>
    <w:rsid w:val="00255FCE"/>
    <w:rsid w:val="0026278F"/>
    <w:rsid w:val="002D452F"/>
    <w:rsid w:val="00341017"/>
    <w:rsid w:val="003622B2"/>
    <w:rsid w:val="003B4218"/>
    <w:rsid w:val="003F79D7"/>
    <w:rsid w:val="00430A5E"/>
    <w:rsid w:val="00465A47"/>
    <w:rsid w:val="00536E5E"/>
    <w:rsid w:val="00541931"/>
    <w:rsid w:val="005F70FB"/>
    <w:rsid w:val="00645533"/>
    <w:rsid w:val="006521CB"/>
    <w:rsid w:val="00751144"/>
    <w:rsid w:val="00753924"/>
    <w:rsid w:val="007957AD"/>
    <w:rsid w:val="0087612A"/>
    <w:rsid w:val="00895812"/>
    <w:rsid w:val="00941A77"/>
    <w:rsid w:val="009C361D"/>
    <w:rsid w:val="00AF38B9"/>
    <w:rsid w:val="00B50239"/>
    <w:rsid w:val="00B622AE"/>
    <w:rsid w:val="00B80C67"/>
    <w:rsid w:val="00B87CA2"/>
    <w:rsid w:val="00BA17EF"/>
    <w:rsid w:val="00C44F91"/>
    <w:rsid w:val="00C65370"/>
    <w:rsid w:val="00CA4FE0"/>
    <w:rsid w:val="00CF2A17"/>
    <w:rsid w:val="00D37B23"/>
    <w:rsid w:val="00D4629E"/>
    <w:rsid w:val="00D4690E"/>
    <w:rsid w:val="00D63508"/>
    <w:rsid w:val="00DD54A1"/>
    <w:rsid w:val="00E331FE"/>
    <w:rsid w:val="00E36D01"/>
    <w:rsid w:val="00E41B7D"/>
    <w:rsid w:val="00EB3F00"/>
    <w:rsid w:val="00F53671"/>
    <w:rsid w:val="00F84E85"/>
    <w:rsid w:val="00FA4C60"/>
    <w:rsid w:val="00FC1FB5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761FD47-C392-4ACD-AE79-1672DF64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B23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D3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37B2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465A47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65A47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Sidefod">
    <w:name w:val="footer"/>
    <w:basedOn w:val="Normal"/>
    <w:link w:val="SidefodTegn"/>
    <w:uiPriority w:val="99"/>
    <w:unhideWhenUsed/>
    <w:rsid w:val="00465A47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65A47"/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Hyperlink">
    <w:name w:val="Hyperlink"/>
    <w:basedOn w:val="Standardskrifttypeiafsnit"/>
    <w:uiPriority w:val="99"/>
    <w:unhideWhenUsed/>
    <w:rsid w:val="00E33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cammink2019@bay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70CCF-E1F2-42D7-9F87-A072B9AE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1917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Kristine McNair</dc:creator>
  <cp:lastModifiedBy>Sarah Røjbæk</cp:lastModifiedBy>
  <cp:revision>2</cp:revision>
  <dcterms:created xsi:type="dcterms:W3CDTF">2019-06-14T05:57:00Z</dcterms:created>
  <dcterms:modified xsi:type="dcterms:W3CDTF">2019-06-14T05:57:00Z</dcterms:modified>
</cp:coreProperties>
</file>